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34" w:right="174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SCHEDA INDIVIDUAZIONE DI DOCENTE SOPRANNUMERARIO PER L’A.S. 2025/2026</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9"/>
          <w:tab w:val="left" w:leader="none" w:pos="8879"/>
          <w:tab w:val="left" w:leader="none" w:pos="10240"/>
        </w:tabs>
        <w:spacing w:after="0" w:before="92" w:line="240" w:lineRule="auto"/>
        <w:ind w:left="89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 l _ sottoscritt _</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nat _ 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28"/>
          <w:tab w:val="left" w:leader="none" w:pos="8648"/>
          <w:tab w:val="left" w:leader="none" w:pos="10324"/>
        </w:tabs>
        <w:spacing w:after="0" w:before="93"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residente in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docente a t.i. di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Cl.Conc.</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1"/>
          <w:tab w:val="left" w:leader="none" w:pos="10329"/>
        </w:tabs>
        <w:spacing w:after="0" w:before="93"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titolare  presso codesto Istituto dall’a.s.</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immesso in ruolo ai sensi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51"/>
          <w:tab w:val="left" w:leader="none" w:pos="7184"/>
        </w:tabs>
        <w:spacing w:after="0" w:before="92" w:line="240" w:lineRule="auto"/>
        <w:ind w:left="186" w:right="138" w:hanging="1.0000000000000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decorrenza giuridica dal</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ed economica dal</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(Testo unico delle disposizioni legislative e regolamentari in materia di documentazione amministrativa) e successive modifiche ed integrazioni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4" w:right="183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I C H I A R 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0"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diritto al seguente punteggio:</w:t>
      </w:r>
    </w:p>
    <w:tbl>
      <w:tblPr>
        <w:tblStyle w:val="Table1"/>
        <w:tblW w:w="10844.0" w:type="dxa"/>
        <w:jc w:val="left"/>
        <w:tblInd w:w="13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97"/>
        <w:gridCol w:w="8645"/>
        <w:gridCol w:w="708"/>
        <w:gridCol w:w="994"/>
        <w:tblGridChange w:id="0">
          <w:tblGrid>
            <w:gridCol w:w="497"/>
            <w:gridCol w:w="8645"/>
            <w:gridCol w:w="708"/>
            <w:gridCol w:w="994"/>
          </w:tblGrid>
        </w:tblGridChange>
      </w:tblGrid>
      <w:tr>
        <w:trPr>
          <w:cantSplit w:val="0"/>
          <w:trHeight w:val="618" w:hRule="atLeast"/>
          <w:tblHeader w:val="0"/>
        </w:trPr>
        <w:tc>
          <w:tcPr>
            <w:gridSpan w:val="2"/>
            <w:tcBorders>
              <w:bottom w:color="000000" w:space="0" w:sz="12"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205"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L’ordine delle lettere è quello ufficiale dell’Allegato 2 – Tabelle di valutazione dei titoli del CCNI 2025/28, per le voci riguardanti i trasferimenti d’ufficio.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alla Amm.ne</w:t>
            </w:r>
            <w:r w:rsidDel="00000000" w:rsidR="00000000" w:rsidRPr="00000000">
              <w:rPr>
                <w:rtl w:val="0"/>
              </w:rPr>
            </w:r>
          </w:p>
        </w:tc>
      </w:tr>
      <w:tr>
        <w:trPr>
          <w:cantSplit w:val="0"/>
          <w:trHeight w:val="337" w:hRule="atLeast"/>
          <w:tblHeader w:val="0"/>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 – ANZIANITA’ DI SERVIZIO</w:t>
            </w:r>
            <w:r w:rsidDel="00000000" w:rsidR="00000000" w:rsidRPr="00000000">
              <w:rPr>
                <w:rtl w:val="0"/>
              </w:rPr>
            </w:r>
          </w:p>
        </w:tc>
      </w:tr>
      <w:tr>
        <w:trPr>
          <w:cantSplit w:val="0"/>
          <w:trHeight w:val="680" w:hRule="atLeast"/>
          <w:tblHeader w:val="0"/>
        </w:trPr>
        <w:tc>
          <w:tcPr>
            <w:tcBorders>
              <w:top w:color="000000" w:space="0" w:sz="12"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8"/>
                <w:tab w:val="left" w:leader="none" w:pos="7610"/>
              </w:tabs>
              <w:spacing w:after="0" w:before="25" w:line="240" w:lineRule="auto"/>
              <w:ind w:left="81" w:right="10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successivamente alla decorrenza giuridica della nomina, nel ruolo di appartenenza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(p. 6 x anno)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(Non si valuta il servizio relativo all’anno in corso)</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2" w:hRule="atLeast"/>
          <w:tblHeader w:val="0"/>
        </w:trPr>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6"/>
              </w:tabs>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dopo la nomina nel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scuole 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istituti situati nelle piccole isole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al punteggio di cui al punto A)</w:t>
              <w:tab/>
              <w:t xml:space="preserve">(p. 6 x anno)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1" w:hRule="atLeast"/>
          <w:tblHeader w:val="0"/>
        </w:trPr>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4"/>
              </w:tabs>
              <w:spacing w:after="0" w:before="0" w:line="240" w:lineRule="auto"/>
              <w:ind w:left="81" w:right="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pre-ruolo, anche nella scuola dell’infanzia, nel medesimo ruolo di titolarità (*)                                                                                                                                                     (p. 4 x anno)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4"/>
              </w:tabs>
              <w:spacing w:after="0" w:before="0" w:line="240" w:lineRule="auto"/>
              <w:ind w:left="81" w:right="6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sia di ruolo che di pre-ruolo, anche nella scuola dell’infanzia, in ruolo diverso da quello di titolarità (*), riconosciuto o riconoscibile ai fini della carriera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(anni  4 valutati  per intero - quelli eccedenti i 4 anni per i 2/3 se prestati nella scuola dell’infanzia o primaria nel caso l’attuale titolarità sia nella scuola secondaria di I e II grado, e viceversa).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3 x anno)</w:t>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w:t>
            </w: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pre–ruolo, anche nella scuola dell’infanzia, nel medesimo ruolo di titolarità (*)  riconosciuto o riconoscibile ai fini della carriera, in scuole o istituti situati nelle piccole isole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al punteggio di cui ai punti B)</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 4 x anno)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sia di ruolo che di pre-ruolo, anche nella scuola dell’infanzia, in ruolo diverso da quello di titolarità (*), riconosciuto o riconoscibile ai fini della carriera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scuole o istituti situati nelle piccole isole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al punteggio di cui ai punti B)</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(anni  4 valutati  per intero - gli eccedenti i 4 anni per i 2/3, se prestati nella scuola dell’infanzia o primaria nel caso l’attuale titolarità sia nella scuola secondaria di I e II grado, e viceversa).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3 x anno)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4" w:hRule="atLeast"/>
          <w:tblHeader w:val="0"/>
        </w:trPr>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B2)</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3"/>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(valido  solo  per  la  scuola  primaria)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di ruolo come “specialista” per l’insegnamento della lingua straniera dall’a.s. 92/93 fino all’a.s. 97/98 (in aggiunta al punteggio di cui ai punti B) e B1) rispettivamente:</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7"/>
                <w:tab w:val="left" w:leader="none" w:pos="7492"/>
              </w:tabs>
              <w:spacing w:after="0" w:before="0" w:line="240" w:lineRule="auto"/>
              <w:ind w:left="186" w:right="0" w:hanging="106"/>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 il servizio è stato prestato nell’ambito del plesso di titolarità:</w:t>
              <w:tab/>
              <w:t xml:space="preserve">(p. 0,5 x anno)</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7"/>
                <w:tab w:val="left" w:leader="none" w:pos="7509"/>
              </w:tabs>
              <w:spacing w:after="0" w:before="0" w:line="240" w:lineRule="auto"/>
              <w:ind w:left="186" w:right="0" w:hanging="106"/>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 il servizio è stato prestato al di fuori del plesso di titolarità:</w:t>
              <w:tab/>
              <w:t xml:space="preserve">(p. 1 x anno)</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544" w:hRule="atLeast"/>
          <w:tblHeader w:val="0"/>
        </w:trPr>
        <w:tc>
          <w:tcPr>
            <w:vMerge w:val="restart"/>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tl w:val="0"/>
              </w:rPr>
            </w:r>
          </w:p>
        </w:tc>
        <w:tc>
          <w:tcPr>
            <w:vMerge w:val="restart"/>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0" w:line="240" w:lineRule="auto"/>
              <w:ind w:left="79" w:right="45"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anni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di ruolo senza soluzione di continuità negli ultimi tre anni scolastici nella scuola di attuale titolarità o di precedente incarico triennale da ambito ovvero nella scuola di servizio per gli ex titolari di Dotazione Organica di Sostegno (DOS) nella scuola secondaria di II grado e per i docenti di religione cattolica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 quello previsto dalle lettere A), A1), B), B1), B2) (N.B.: per trasferimenti d’ufficio si veda la nota (5bis) anche relativamente al punto C0)                                                                                                (punti 12)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0" w:line="240" w:lineRule="auto"/>
              <w:ind w:left="79" w:right="20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0" w:line="240" w:lineRule="auto"/>
              <w:ind w:left="79" w:right="45"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Ai fini della graduatoria per l’individuazione del soprannumerario si prescinde dal triennio.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4 x anno)</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ulteriore anno di servizio:</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7"/>
                <w:tab w:val="left" w:leader="none" w:pos="7545"/>
              </w:tabs>
              <w:spacing w:after="0" w:before="0" w:line="240" w:lineRule="auto"/>
              <w:ind w:left="187" w:right="0" w:hanging="1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w:t>
              <w:tab/>
              <w:t xml:space="preserve">(p.  5 x anno)</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7"/>
                <w:tab w:val="left" w:leader="none" w:pos="7550"/>
              </w:tabs>
              <w:spacing w:after="0" w:before="0" w:line="240" w:lineRule="auto"/>
              <w:ind w:left="187" w:right="0" w:hanging="1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w:t>
              <w:tab/>
              <w:t xml:space="preserve">(p.  6 x anno)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(Non si valuta il servizio relativo all’anno in corso)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prestato nelle piccole isole il punteggio si raddoppia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77" w:hRule="atLeast"/>
          <w:tblHeader w:val="0"/>
        </w:trPr>
        <w:tc>
          <w:tcPr>
            <w:vMerge w:val="continue"/>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30" w:hRule="atLeast"/>
          <w:tblHeader w:val="0"/>
        </w:trPr>
        <w:tc>
          <w:tcP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C0)</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s>
              <w:spacing w:after="0" w:before="100" w:line="240" w:lineRule="auto"/>
              <w:ind w:left="81" w:right="24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di ruolo nel comune di attuale titolarità o di incarico triennale senza soluzione di continuità (in aggiunta a quello previsto dalle lettere A), A1), B), B1), B2)</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s>
              <w:spacing w:after="0" w:before="100" w:line="240" w:lineRule="auto"/>
              <w:ind w:left="81" w:right="202"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1 x anno)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s>
              <w:spacing w:after="0" w:before="100" w:line="240" w:lineRule="auto"/>
              <w:ind w:left="81" w:right="24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Non è cumulabile, per lo stesso anno scolastico, con quello previsto alla lettera C)</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(Valido solo ai fini della graduatoria per l’individuazione del soprannumerario e per i trasferimenti d’ufficio)</w:t>
              <w:tab/>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49" w:hRule="atLeast"/>
          <w:tblHeader w:val="0"/>
        </w:trPr>
        <w:tc>
          <w:tcPr>
            <w:tcBorders>
              <w:bottom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C1)</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Per la sola scuola primaria:</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7"/>
                <w:tab w:val="left" w:leader="none" w:pos="7710"/>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dall’a.s. 92/93 fino all’a.s. 97/98, come docente “specializzato” per l’insegnamento della lingua straniera (in aggiunta a quello previsto dai punti A), A1), B), B2),C)                                                                                                              (punti 1,5)</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7"/>
                <w:tab w:val="left" w:leader="none" w:pos="7710"/>
              </w:tabs>
              <w:spacing w:after="0" w:before="0" w:line="240" w:lineRule="auto"/>
              <w:ind w:left="81" w:right="49"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5"/>
                <w:tab w:val="left" w:leader="none" w:pos="7845"/>
              </w:tabs>
              <w:spacing w:after="0" w:before="3"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dall’a.s. 92/93 fino all’a.s. 97/98, come docente “specialista” per l’insegnamento della lingua straniera (in aggiunta a quello previsto dai punti A), A1), B), B2), C)</w:t>
              <w:tab/>
              <w:t xml:space="preserve">(punti  3)</w:t>
            </w:r>
          </w:p>
        </w:tc>
        <w:tc>
          <w:tcPr>
            <w:tcBorders>
              <w:bottom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3"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133" w:hanging="0.999999999999996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(5ter)</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6"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10)</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3" w:hRule="atLeast"/>
          <w:tblHeader w:val="0"/>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6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A2 – ESIGENZE DI FAMIGLIA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(7)</w:t>
            </w:r>
            <w:r w:rsidDel="00000000" w:rsidR="00000000" w:rsidRPr="00000000">
              <w:rPr>
                <w:rtl w:val="0"/>
              </w:rPr>
            </w:r>
          </w:p>
        </w:tc>
      </w:tr>
      <w:tr>
        <w:trPr>
          <w:cantSplit w:val="0"/>
          <w:trHeight w:val="414" w:hRule="atLeast"/>
          <w:tblHeader w:val="0"/>
        </w:trPr>
        <w:tc>
          <w:tcPr>
            <w:tcBorders>
              <w:top w:color="000000" w:space="0" w:sz="12" w:val="single"/>
            </w:tcBorders>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41"/>
                <w:tab w:val="left" w:leader="none" w:pos="7422"/>
              </w:tabs>
              <w:spacing w:after="0" w:before="0" w:line="240" w:lineRule="auto"/>
              <w:ind w:left="81" w:right="10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ricongiungimento al coniuge/parte dell’unione civile/convivente di fatto (***) ovvero nel caso di personale senza coniuge o separati giudizialmente o consensualmente con atto omologato dal tribunale, per il ricongiungimento ai genitori o ai figli                                                                                                                                                 (punti 6 )</w:t>
            </w:r>
          </w:p>
        </w:tc>
        <w:tc>
          <w:tcPr>
            <w:tcBorders>
              <w:top w:color="000000" w:space="0" w:sz="12" w:val="single"/>
            </w:tcBorders>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 w:val="left" w:leader="none" w:pos="4125"/>
                <w:tab w:val="left" w:leader="none" w:pos="6350"/>
                <w:tab w:val="left" w:leader="none" w:pos="7074"/>
              </w:tabs>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 di età inferiore a sei anni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(p. 5 x ogni figlio)</w:t>
            </w:r>
          </w:p>
        </w:tc>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1" w:hRule="atLeast"/>
          <w:tblHeader w:val="0"/>
        </w:trPr>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 w:val="left" w:leader="none" w:pos="1689"/>
                <w:tab w:val="left" w:leader="none" w:pos="7199"/>
              </w:tabs>
              <w:spacing w:after="0" w:before="0" w:line="240" w:lineRule="auto"/>
              <w:ind w:left="81" w:right="4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 di età superiore a sei anni ma che  non hanno superato il 18° anno di età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ovvero per ogni figlio maggiorenne che risulti totalmente o permanentemente inabile  a  proficuo lavoro</w:t>
              <w:tab/>
              <w:t xml:space="preserve">(p. 4 x ogni figlio)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68"/>
              </w:tabs>
              <w:spacing w:after="0" w:before="0" w:line="240" w:lineRule="auto"/>
              <w:ind w:left="40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43"/>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6)</w:t>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gridSpan w:val="4"/>
            <w:tcBorders>
              <w:bottom w:color="000000" w:space="0" w:sz="4" w:val="single"/>
            </w:tcBorders>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Il ruolo di appartenenza va riferito rispettivamente: a) alla scuola dell’infanzia; b) alla scuola primaria; c) alla scuola secondaria di I grado; d) agli istituti di istruzione secondaria di II grado.</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Ai fini della formazione della graduatoria per l’individuazione del soprannumerario ed ai fini del trasferimento d’ufficio, l’attribuzione del punteggio di continuità didattica di cui all’allegato 2, tabella A1), lettera C), del CCNI 2025 prescinde dalla maturazione del triennio:</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95" w:right="0" w:hanging="106.00000000000001"/>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entro il triennio, la continuità didattica viene valutata, come nella mobilità a domanda, punti 4 per ogni anno di servizio di ruolo nella scuola di attuale titolarità o di incarico triennale prestato senza soluzione di continuità (art.3 comma 21 della OM n.36/2025).</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Per convivente di fatto si fa riferimento a quanto previsto dall’art.1 commi 36 e 37 della Legge 76/2016.</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footerReference r:id="rId6" w:type="default"/>
          <w:pgSz w:h="16840" w:w="11900" w:orient="portrait"/>
          <w:pgMar w:bottom="940" w:top="220" w:left="380" w:right="420" w:header="720" w:footer="750"/>
          <w:pgNumType w:start="1"/>
        </w:sect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844.0" w:type="dxa"/>
        <w:jc w:val="left"/>
        <w:tblInd w:w="14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97"/>
        <w:gridCol w:w="8645"/>
        <w:gridCol w:w="708"/>
        <w:gridCol w:w="994"/>
        <w:tblGridChange w:id="0">
          <w:tblGrid>
            <w:gridCol w:w="497"/>
            <w:gridCol w:w="8645"/>
            <w:gridCol w:w="708"/>
            <w:gridCol w:w="994"/>
          </w:tblGrid>
        </w:tblGridChange>
      </w:tblGrid>
      <w:tr>
        <w:trPr>
          <w:cantSplit w:val="0"/>
          <w:trHeight w:val="339" w:hRule="atLeast"/>
          <w:tblHeader w:val="0"/>
        </w:trPr>
        <w:tc>
          <w:tcPr>
            <w:gridSpan w:val="4"/>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6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A3 – TITOLI GENERALI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(15),(17)</w:t>
            </w:r>
            <w:r w:rsidDel="00000000" w:rsidR="00000000" w:rsidRPr="00000000">
              <w:rPr>
                <w:rtl w:val="0"/>
              </w:rPr>
            </w:r>
          </w:p>
        </w:tc>
      </w:tr>
      <w:tr>
        <w:trPr>
          <w:cantSplit w:val="0"/>
          <w:trHeight w:val="620"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10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superamento di un pubblico concorso ordinario per esami e titoli,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 momento della presentazione della domanda, o a ruoli di livello pari o superiore a quello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12)</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essere in  possesso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(11bis)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5 x ogni diploma)</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 valutabile un solo diploma, per lo stesso o gli stessi anni accademici o di corso)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essere in possesso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universitari (diploma accademico di primo livello, laurea di primo livello o breve o diploma Istituto Superiori di Educazione Fisica - ISEF) conseguiti oltre al titolo di studio attualmente necessario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3 x ogni diploma)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(La laurea triennale o di I livello che ha consentito l’accesso alla laurea specialistica o magistrale, non dà diritto ad avvalersi di ulteriore punteggio)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98"/>
                <w:tab w:val="left" w:leader="none" w:pos="422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frequentato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corsi di perfezionamento di durata non inferiore ad un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previsti dagli statuti ovvero dal D.P.R. 162/1982, ovvero dalla Legge n. 341/1990 (artt.4,6,8) ovvero dal decreto n. 509/99 e successive modifiche ed integrazioni, nonché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master di 1° o di 2° livello attivati dalle università statali o libere ovvero da istituti universitari statali o pareggiati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(11bis)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ivi compresi gli istituti di educazione fisica statali o pareggiati nell'ambito delle scienze dell'educazione e/o nell'ambito delle discipline attualmente insegnate dal docente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1 x ogni corso)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 valutabile un solo corso, per lo stesso o gli stessi anni accademici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5"/>
                <w:tab w:val="left" w:leader="none" w:pos="4007"/>
                <w:tab w:val="left" w:leader="none" w:pos="8114"/>
              </w:tabs>
              <w:spacing w:after="0" w:before="0" w:line="240" w:lineRule="auto"/>
              <w:ind w:left="81" w:right="61"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diploma di laurea con corso di durata almeno quadriennale (ivi compreso il diploma di laurea in scienze motorie),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di lauree magistrali (specialistica), per ogni diploma accademico di secondo livello (ivi compreso il diploma rilasciato da accademie di belle arti o conservatorio di musica, vecchio ordinamento, conseguito entro il 31.12.2017 – L. n. 228/2012), conseguito oltre al titolo di studio attualmente necessario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5 x ogni diploma)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conseguimento del titolo di “dottorato di ricerca”</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2"/>
              </w:tabs>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(si valuta  un solo titolo)</w:t>
              <w:tab/>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(16)</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partecipazione agli esami di stato conclusivi dei corsi di studio di istruzione secondaria superiore di cui alla legge 10.12.1997 n.425 e al D.P.R. 23.07.1998 n.323, fino all’a.s. 2000/2001, in qualità di presidente di commissione o di componente esterno o di componente interno, compresa l’attività svolta dal docente di sostegno all’alunno disabile che sostiene l’esame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1 x ogni partecipazione)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9" w:hanging="0.999999999999996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CLIL di Corso di Perfezionamento per l’insegnamento di una disciplina non linguistica in lingua straniera di cui al decreto Direttoriale n. 6 del 16.04.2012 rilasciato esclusivamente da strutture universitarie in possesso dei requisiti di cui all’art. 3, comma 3 del D.M. del 30.09.2011.</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N.B.: il certificato viene rilasciato solo a chi:</w:t>
            </w:r>
          </w:p>
          <w:p w:rsidR="00000000" w:rsidDel="00000000" w:rsidP="00000000" w:rsidRDefault="00000000" w:rsidRPr="00000000" w14:paraId="000000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7"/>
              </w:tabs>
              <w:spacing w:after="0" w:before="0" w:line="240" w:lineRule="auto"/>
              <w:ind w:left="500" w:right="0" w:hanging="14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è in possesso di certificazione di livello C1 del QCER (art.4, comma 2)</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7"/>
              </w:tabs>
              <w:spacing w:after="0" w:before="0" w:line="240" w:lineRule="auto"/>
              <w:ind w:left="500" w:right="0" w:hanging="14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 frequentato il corso metodologico</w:t>
            </w:r>
          </w:p>
          <w:p w:rsidR="00000000" w:rsidDel="00000000" w:rsidP="00000000" w:rsidRDefault="00000000" w:rsidRPr="00000000" w14:paraId="000000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7"/>
              </w:tabs>
              <w:spacing w:after="0" w:before="0" w:line="240" w:lineRule="auto"/>
              <w:ind w:left="500" w:right="0" w:hanging="14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 sostenuto la prova finale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55"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CLIL per docenti NON in possesso di certificazione di livello C1, ma che avendo svolto la parte metodologica esclusivamente presso le strutture universitarie, sono in possesso di ATTESTATO di frequenza al corso di perfezionamento.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55"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N.B.: in questo caso il docente ha una competenza linguistica B2 NON certificata, ma ha frequentato il corso e superato l’esame finale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(punti 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64"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46" w:right="63"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N.B. i titoli relativi a B) C), D), E), F), G), M) N), anche cumulabili fra loro, sono valutati fino ad un massimo di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46" w:right="20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1"/>
        </w:tabs>
        <w:spacing w:after="0" w:before="0"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allegano: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1"/>
          <w:tab w:val="left" w:leader="none" w:pos="6063"/>
          <w:tab w:val="left" w:leader="none" w:pos="9774"/>
        </w:tabs>
        <w:spacing w:after="0" w:before="92"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Firma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sectPr>
      <w:type w:val="nextPage"/>
      <w:pgSz w:h="16840" w:w="11900" w:orient="portrait"/>
      <w:pgMar w:bottom="940" w:top="280" w:left="380" w:right="420" w:header="0" w:footer="7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6870065</wp:posOffset>
              </wp:positionH>
              <wp:positionV relativeFrom="paragraph">
                <wp:posOffset>0</wp:posOffset>
              </wp:positionV>
              <wp:extent cx="114300" cy="165735"/>
              <wp:wrapNone/>
              <wp:docPr id="1" name=""/>
              <a:graphic>
                <a:graphicData uri="http://schemas.microsoft.com/office/word/2010/wordprocessingShape">
                  <wps:wsp>
                    <wps:cNvSpPr txBox="1">
                      <a:spLocks noChangeArrowheads="1"/>
                    </wps:cNvSpPr>
                    <wps:cNvPr id="1" name="Text Box 1"/>
                    <wps:spPr bwMode="auto">
                      <a:xfrm>
                        <a:off x="0" y="0"/>
                        <a:ext cx="114300" cy="165735"/>
                      </a:xfrm>
                      <a:prstGeom prst="rect">
                        <a:avLst/>
                      </a:prstGeom>
                      <a:noFill/>
                      <a:ln>
                        <a:noFill/>
                      </a:ln>
                      <a:extLst>
                        <a:ext uri="{909E8E84-426E-40DD-AFC4-6F175D3DCCD1}"/>
                        <a:ext uri="{91240B29-F687-4F45-9708-019B960494DF}"/>
                      </a:extLst>
                    </wps:spPr>
                    <wps:txbx>
                      <w:txbxContent>
                        <w:p w:rsidR="00000000" w:rsidDel="00000000" w:rsidP="00000000" w:rsidRDefault="00000000" w:rsidRPr="00000000">
                          <w:pPr>
                            <w:pStyle w:val="Normale"/>
                            <w:suppressAutoHyphens w:val="1"/>
                            <w:spacing w:before="10" w:line="1" w:lineRule="atLeast"/>
                            <w:ind w:left="40" w:leftChars="-1" w:rightChars="0" w:firstLineChars="-1"/>
                            <w:textDirection w:val="btLr"/>
                            <w:textAlignment w:val="top"/>
                            <w:outlineLvl w:val="0"/>
                            <w:rPr>
                              <w:w w:val="100"/>
                              <w:position w:val="-1"/>
                              <w:sz w:val="20"/>
                              <w:effect w:val="none"/>
                              <w:vertAlign w:val="baseline"/>
                              <w:cs w:val="0"/>
                              <w:em w:val="none"/>
                              <w:lang/>
                            </w:rPr>
                          </w:pPr>
                          <w:r w:rsidDel="000000-1" w:rsidR="000000-1" w:rsidRPr="000000-1">
                            <w:rPr>
                              <w:w w:val="99"/>
                              <w:position w:val="-1"/>
                              <w:sz w:val="20"/>
                              <w:effect w:val="none"/>
                              <w:vertAlign w:val="baseline"/>
                              <w:cs w:val="0"/>
                              <w:em w:val="none"/>
                              <w:lang/>
                              <w:specVanish w:val="1"/>
                            </w:rPr>
                            <w:fldChar w:fldCharType="begin"/>
                          </w:r>
                          <w:r w:rsidDel="000000-1" w:rsidR="000000-1" w:rsidRPr="000000-1">
                            <w:rPr>
                              <w:w w:val="99"/>
                              <w:position w:val="-1"/>
                              <w:sz w:val="20"/>
                              <w:effect w:val="none"/>
                              <w:vertAlign w:val="baseline"/>
                              <w:cs w:val="0"/>
                              <w:em w:val="none"/>
                              <w:lang/>
                            </w:rPr>
                            <w:instrText xml:space="preserve"> PAGE </w:instrText>
                          </w:r>
                          <w:r w:rsidDel="000000-1" w:rsidR="000000-1" w:rsidRPr="000000-1">
                            <w:rPr>
                              <w:w w:val="99"/>
                              <w:position w:val="-1"/>
                              <w:sz w:val="20"/>
                              <w:effect w:val="none"/>
                              <w:vertAlign w:val="baseline"/>
                              <w:cs w:val="0"/>
                              <w:em w:val="none"/>
                              <w:lang/>
                              <w:specVanish w:val="1"/>
                            </w:rPr>
                            <w:fldChar w:fldCharType="separate"/>
                          </w:r>
                          <w:r w:rsidDel="000000-1" w:rsidR="000000-1" w:rsidRPr="000000-1">
                            <w:rPr>
                              <w:w w:val="99"/>
                              <w:position w:val="-1"/>
                              <w:sz w:val="20"/>
                              <w:effect w:val="none"/>
                              <w:vertAlign w:val="baseline"/>
                              <w:cs w:val="0"/>
                              <w:em w:val="none"/>
                              <w:lang/>
                            </w:rPr>
                            <w:t>1</w:t>
                          </w:r>
                          <w:r w:rsidDel="000000-1" w:rsidR="000000-1" w:rsidRPr="000000-1">
                            <w:rPr>
                              <w:w w:val="99"/>
                              <w:position w:val="-1"/>
                              <w:sz w:val="20"/>
                              <w:effect w:val="none"/>
                              <w:vertAlign w:val="baseline"/>
                              <w:cs w:val="0"/>
                              <w:em w:val="none"/>
                              <w:lang/>
                              <w:specVanish w:val="1"/>
                            </w:rPr>
                            <w:fldChar w:fldCharType="end"/>
                          </w:r>
                          <w:r w:rsidDel="000000-1" w:rsidR="000000-1" w:rsidRPr="000000-1">
                            <w:rPr>
                              <w:w w:val="100"/>
                              <w:position w:val="-1"/>
                              <w:sz w:val="20"/>
                              <w:effect w:val="none"/>
                              <w:vertAlign w:val="baseline"/>
                              <w:cs w:val="0"/>
                              <w:em w:val="none"/>
                              <w:lang/>
                            </w:rPr>
                          </w:r>
                        </w:p>
                        <w:p w:rsidR="00000000" w:rsidDel="00000000" w:rsidP="00000000" w:rsidRDefault="00000000" w:rsidRPr="00000000">
                          <w:pPr>
                            <w:pStyle w:val="Normale"/>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00000-1" w:rsidRPr="000000-1">
                            <w:rPr>
                              <w:w w:val="100"/>
                              <w:position w:val="-1"/>
                              <w:effect w:val="none"/>
                              <w:vertAlign w:val="baseline"/>
                              <w:cs w:val="0"/>
                              <w:em w:val="none"/>
                              <w:lang/>
                            </w:rPr>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6870065</wp:posOffset>
              </wp:positionH>
              <wp:positionV relativeFrom="paragraph">
                <wp:posOffset>0</wp:posOffset>
              </wp:positionV>
              <wp:extent cx="114300" cy="1657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 cy="1657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86" w:hanging="105.99999999999999"/>
      </w:pPr>
      <w:rPr>
        <w:rFonts w:ascii="Times New Roman" w:cs="Times New Roman" w:eastAsia="Times New Roman" w:hAnsi="Times New Roman"/>
        <w:sz w:val="18"/>
        <w:szCs w:val="18"/>
        <w:vertAlign w:val="baseline"/>
      </w:rPr>
    </w:lvl>
    <w:lvl w:ilvl="1">
      <w:start w:val="0"/>
      <w:numFmt w:val="bullet"/>
      <w:lvlText w:val="•"/>
      <w:lvlJc w:val="left"/>
      <w:pPr>
        <w:ind w:left="1026" w:hanging="106"/>
      </w:pPr>
      <w:rPr>
        <w:vertAlign w:val="baseline"/>
      </w:rPr>
    </w:lvl>
    <w:lvl w:ilvl="2">
      <w:start w:val="0"/>
      <w:numFmt w:val="bullet"/>
      <w:lvlText w:val="•"/>
      <w:lvlJc w:val="left"/>
      <w:pPr>
        <w:ind w:left="1872" w:hanging="106"/>
      </w:pPr>
      <w:rPr>
        <w:vertAlign w:val="baseline"/>
      </w:rPr>
    </w:lvl>
    <w:lvl w:ilvl="3">
      <w:start w:val="0"/>
      <w:numFmt w:val="bullet"/>
      <w:lvlText w:val="•"/>
      <w:lvlJc w:val="left"/>
      <w:pPr>
        <w:ind w:left="2718" w:hanging="106"/>
      </w:pPr>
      <w:rPr>
        <w:vertAlign w:val="baseline"/>
      </w:rPr>
    </w:lvl>
    <w:lvl w:ilvl="4">
      <w:start w:val="0"/>
      <w:numFmt w:val="bullet"/>
      <w:lvlText w:val="•"/>
      <w:lvlJc w:val="left"/>
      <w:pPr>
        <w:ind w:left="3564" w:hanging="106.00000000000045"/>
      </w:pPr>
      <w:rPr>
        <w:vertAlign w:val="baseline"/>
      </w:rPr>
    </w:lvl>
    <w:lvl w:ilvl="5">
      <w:start w:val="0"/>
      <w:numFmt w:val="bullet"/>
      <w:lvlText w:val="•"/>
      <w:lvlJc w:val="left"/>
      <w:pPr>
        <w:ind w:left="4410" w:hanging="106"/>
      </w:pPr>
      <w:rPr>
        <w:vertAlign w:val="baseline"/>
      </w:rPr>
    </w:lvl>
    <w:lvl w:ilvl="6">
      <w:start w:val="0"/>
      <w:numFmt w:val="bullet"/>
      <w:lvlText w:val="•"/>
      <w:lvlJc w:val="left"/>
      <w:pPr>
        <w:ind w:left="5256" w:hanging="106"/>
      </w:pPr>
      <w:rPr>
        <w:vertAlign w:val="baseline"/>
      </w:rPr>
    </w:lvl>
    <w:lvl w:ilvl="7">
      <w:start w:val="0"/>
      <w:numFmt w:val="bullet"/>
      <w:lvlText w:val="•"/>
      <w:lvlJc w:val="left"/>
      <w:pPr>
        <w:ind w:left="6102" w:hanging="106"/>
      </w:pPr>
      <w:rPr>
        <w:vertAlign w:val="baseline"/>
      </w:rPr>
    </w:lvl>
    <w:lvl w:ilvl="8">
      <w:start w:val="0"/>
      <w:numFmt w:val="bullet"/>
      <w:lvlText w:val="•"/>
      <w:lvlJc w:val="left"/>
      <w:pPr>
        <w:ind w:left="6948" w:hanging="106.00000000000091"/>
      </w:pPr>
      <w:rPr>
        <w:vertAlign w:val="baseline"/>
      </w:rPr>
    </w:lvl>
  </w:abstractNum>
  <w:abstractNum w:abstractNumId="2">
    <w:lvl w:ilvl="0">
      <w:start w:val="0"/>
      <w:numFmt w:val="bullet"/>
      <w:lvlText w:val="-"/>
      <w:lvlJc w:val="left"/>
      <w:pPr>
        <w:ind w:left="186" w:hanging="105.99999999999999"/>
      </w:pPr>
      <w:rPr>
        <w:rFonts w:ascii="Times New Roman" w:cs="Times New Roman" w:eastAsia="Times New Roman" w:hAnsi="Times New Roman"/>
        <w:sz w:val="18"/>
        <w:szCs w:val="18"/>
        <w:vertAlign w:val="baseline"/>
      </w:rPr>
    </w:lvl>
    <w:lvl w:ilvl="1">
      <w:start w:val="0"/>
      <w:numFmt w:val="bullet"/>
      <w:lvlText w:val="•"/>
      <w:lvlJc w:val="left"/>
      <w:pPr>
        <w:ind w:left="1026" w:hanging="106"/>
      </w:pPr>
      <w:rPr>
        <w:vertAlign w:val="baseline"/>
      </w:rPr>
    </w:lvl>
    <w:lvl w:ilvl="2">
      <w:start w:val="0"/>
      <w:numFmt w:val="bullet"/>
      <w:lvlText w:val="•"/>
      <w:lvlJc w:val="left"/>
      <w:pPr>
        <w:ind w:left="1872" w:hanging="106"/>
      </w:pPr>
      <w:rPr>
        <w:vertAlign w:val="baseline"/>
      </w:rPr>
    </w:lvl>
    <w:lvl w:ilvl="3">
      <w:start w:val="0"/>
      <w:numFmt w:val="bullet"/>
      <w:lvlText w:val="•"/>
      <w:lvlJc w:val="left"/>
      <w:pPr>
        <w:ind w:left="2718" w:hanging="106"/>
      </w:pPr>
      <w:rPr>
        <w:vertAlign w:val="baseline"/>
      </w:rPr>
    </w:lvl>
    <w:lvl w:ilvl="4">
      <w:start w:val="0"/>
      <w:numFmt w:val="bullet"/>
      <w:lvlText w:val="•"/>
      <w:lvlJc w:val="left"/>
      <w:pPr>
        <w:ind w:left="3564" w:hanging="106.00000000000045"/>
      </w:pPr>
      <w:rPr>
        <w:vertAlign w:val="baseline"/>
      </w:rPr>
    </w:lvl>
    <w:lvl w:ilvl="5">
      <w:start w:val="0"/>
      <w:numFmt w:val="bullet"/>
      <w:lvlText w:val="•"/>
      <w:lvlJc w:val="left"/>
      <w:pPr>
        <w:ind w:left="4410" w:hanging="106"/>
      </w:pPr>
      <w:rPr>
        <w:vertAlign w:val="baseline"/>
      </w:rPr>
    </w:lvl>
    <w:lvl w:ilvl="6">
      <w:start w:val="0"/>
      <w:numFmt w:val="bullet"/>
      <w:lvlText w:val="•"/>
      <w:lvlJc w:val="left"/>
      <w:pPr>
        <w:ind w:left="5256" w:hanging="106"/>
      </w:pPr>
      <w:rPr>
        <w:vertAlign w:val="baseline"/>
      </w:rPr>
    </w:lvl>
    <w:lvl w:ilvl="7">
      <w:start w:val="0"/>
      <w:numFmt w:val="bullet"/>
      <w:lvlText w:val="•"/>
      <w:lvlJc w:val="left"/>
      <w:pPr>
        <w:ind w:left="6102" w:hanging="106"/>
      </w:pPr>
      <w:rPr>
        <w:vertAlign w:val="baseline"/>
      </w:rPr>
    </w:lvl>
    <w:lvl w:ilvl="8">
      <w:start w:val="0"/>
      <w:numFmt w:val="bullet"/>
      <w:lvlText w:val="•"/>
      <w:lvlJc w:val="left"/>
      <w:pPr>
        <w:ind w:left="6948" w:hanging="106.00000000000091"/>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